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8598" w14:textId="4E2963CE" w:rsidR="004011E3" w:rsidRPr="004011E3" w:rsidRDefault="004011E3" w:rsidP="004011E3">
      <w:pPr>
        <w:shd w:val="clear" w:color="auto" w:fill="FFFFFF"/>
        <w:spacing w:after="300" w:line="240" w:lineRule="auto"/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Atti general</w:t>
      </w:r>
      <w:r w:rsidR="00E25783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i</w:t>
      </w:r>
    </w:p>
    <w:p w14:paraId="4FD0017B" w14:textId="2F26F2BA" w:rsidR="004011E3" w:rsidRPr="004011E3" w:rsidRDefault="004011E3" w:rsidP="004011E3">
      <w:pPr>
        <w:shd w:val="clear" w:color="auto" w:fill="FFFFFF"/>
        <w:spacing w:after="300" w:line="240" w:lineRule="auto"/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CODICE DISCIPLINARE E CODICE DI CONDOTTA</w:t>
      </w:r>
    </w:p>
    <w:p w14:paraId="79D5A96A" w14:textId="77777777" w:rsidR="004011E3" w:rsidRPr="004011E3" w:rsidRDefault="004011E3" w:rsidP="004011E3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Come previsto dall’articolo 55, comma 2 del decreto legislativo 30 marzo 2001, n. 165, così come modificato dall’articolo 68, comma 2 del decreto legislativo n. 150 del 2009, pubblichiamo qui le informazioni relative al </w:t>
      </w:r>
      <w:r w:rsidRPr="004011E3">
        <w:rPr>
          <w:rFonts w:ascii="Lora" w:eastAsia="Times New Roman" w:hAnsi="Lora" w:cs="Times New Roman"/>
          <w:i/>
          <w:iCs/>
          <w:color w:val="455B71"/>
          <w:kern w:val="0"/>
          <w:sz w:val="27"/>
          <w:szCs w:val="27"/>
          <w:lang w:eastAsia="it-IT"/>
          <w14:ligatures w14:val="none"/>
        </w:rPr>
        <w:t>Codice disciplinare</w:t>
      </w:r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.</w:t>
      </w:r>
    </w:p>
    <w:p w14:paraId="14D150A1" w14:textId="77777777" w:rsidR="004011E3" w:rsidRPr="004011E3" w:rsidRDefault="004011E3" w:rsidP="00401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5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Estratto codice disciplinare personale amministrativo </w:t>
        </w:r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lang w:eastAsia="it-IT"/>
            <w14:ligatures w14:val="none"/>
          </w:rPr>
          <w:t>MIUR</w:t>
        </w:r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 Art. 13 </w:t>
        </w:r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lang w:eastAsia="it-IT"/>
            <w14:ligatures w14:val="none"/>
          </w:rPr>
          <w:t>CCNL</w:t>
        </w:r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 2002/2005 del 12.06.2003, come modificato dall’art. 27, commi 1 e 2, del CCNL 2006/2009 del 14.09.2007</w:t>
        </w:r>
      </w:hyperlink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</w:p>
    <w:p w14:paraId="3D0EF38D" w14:textId="77777777" w:rsidR="004011E3" w:rsidRPr="004011E3" w:rsidRDefault="004011E3" w:rsidP="00401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6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Sanzioni disciplinari e responsabilità dei dipendenti pubblici – CAPO V del </w:t>
        </w:r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lang w:eastAsia="it-IT"/>
            <w14:ligatures w14:val="none"/>
          </w:rPr>
          <w:t>D. Lgs.</w:t>
        </w:r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 150/09 </w:t>
        </w:r>
      </w:hyperlink>
    </w:p>
    <w:p w14:paraId="01A23182" w14:textId="77777777" w:rsidR="004011E3" w:rsidRPr="004011E3" w:rsidRDefault="004011E3" w:rsidP="00401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7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Presidenza del Consiglio dei Ministri Dipartimento della Funzione Pubblica – decreto 28 novembre 2008 – Codice di comportamento dei dipendenti delle pubbliche amministrazioni </w:t>
        </w:r>
      </w:hyperlink>
    </w:p>
    <w:p w14:paraId="4651EE11" w14:textId="77777777" w:rsidR="004011E3" w:rsidRPr="004011E3" w:rsidRDefault="004011E3" w:rsidP="00401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hyperlink r:id="rId8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Decreto Legislativo 16 aprile 1994 – Sezione Sanzioni disciplinari </w:t>
        </w:r>
      </w:hyperlink>
    </w:p>
    <w:p w14:paraId="5026D19A" w14:textId="77777777" w:rsidR="004011E3" w:rsidRPr="004011E3" w:rsidRDefault="004011E3" w:rsidP="004011E3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11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pict w14:anchorId="75581950">
          <v:rect id="_x0000_i1025" style="width:0;height:0" o:hrstd="t" o:hrnoshade="t" o:hr="t" fillcolor="#455b71" stroked="f"/>
        </w:pict>
      </w:r>
    </w:p>
    <w:p w14:paraId="7C43D490" w14:textId="77777777" w:rsidR="004011E3" w:rsidRPr="004011E3" w:rsidRDefault="004011E3" w:rsidP="004011E3">
      <w:pPr>
        <w:shd w:val="clear" w:color="auto" w:fill="FFFFFF"/>
        <w:spacing w:after="300" w:line="240" w:lineRule="auto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 Link alle norme di legge statale pubblicate nella banca dati </w:t>
      </w:r>
      <w:proofErr w:type="spellStart"/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fldChar w:fldCharType="begin"/>
      </w:r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instrText xml:space="preserve"> HYPERLINK "http://www.normattiva.it/" </w:instrText>
      </w:r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fldChar w:fldCharType="separate"/>
      </w:r>
      <w:r w:rsidRPr="004011E3">
        <w:rPr>
          <w:rFonts w:ascii="Lora" w:eastAsia="Times New Roman" w:hAnsi="Lora" w:cs="Times New Roman"/>
          <w:color w:val="0066CC"/>
          <w:kern w:val="0"/>
          <w:sz w:val="27"/>
          <w:szCs w:val="27"/>
          <w:u w:val="single"/>
          <w:lang w:eastAsia="it-IT"/>
          <w14:ligatures w14:val="none"/>
        </w:rPr>
        <w:t>Normattiva</w:t>
      </w:r>
      <w:proofErr w:type="spellEnd"/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fldChar w:fldCharType="end"/>
      </w:r>
      <w:r w:rsidRPr="004011E3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.</w:t>
      </w:r>
    </w:p>
    <w:p w14:paraId="513E8D6D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COSTITUZIONE DELLA REPUBBLICA ITALIANA – </w:t>
      </w:r>
      <w:hyperlink r:id="rId9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GU n.298 del 27-12-1947</w:t>
        </w:r>
      </w:hyperlink>
    </w:p>
    <w:p w14:paraId="67C464D7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Testo Unico delle disposizioni legislative in materia di istruzione – </w:t>
      </w:r>
      <w:hyperlink r:id="rId10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D.lgs. 16 aprile 1994, n.297</w:t>
        </w:r>
      </w:hyperlink>
    </w:p>
    <w:p w14:paraId="745D6890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Autonomia delle istituzioni scolastiche – </w:t>
      </w:r>
      <w:hyperlink r:id="rId11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art.21 delle Legge 15 marzo 1997, n.59</w:t>
        </w:r>
      </w:hyperlink>
    </w:p>
    <w:p w14:paraId="3E81620F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Regolamento recante lo statuto delle studentesse e degli studenti della scuola secondaria – </w:t>
      </w:r>
      <w:hyperlink r:id="rId12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DPR 24 giugno 1998, n.249</w:t>
        </w:r>
      </w:hyperlink>
    </w:p>
    <w:p w14:paraId="049BBC22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Regolamento recante norme in materia di autonomia delle istituzioni scolastiche – </w:t>
      </w:r>
      <w:hyperlink r:id="rId13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DPR 8 marzo 1999, n. 275</w:t>
        </w:r>
      </w:hyperlink>
    </w:p>
    <w:p w14:paraId="658D204B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Norme per la parità scolastica e disposizioni sul diritto allo studio e all’istruzione – </w:t>
      </w:r>
      <w:hyperlink r:id="rId14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Legge 10 marzo 2000, n.62 </w:t>
        </w:r>
      </w:hyperlink>
    </w:p>
    <w:p w14:paraId="721CC312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Norme generali sull’ordinamento del lavoro alle dipendenze delle pubbliche amministrazioni – </w:t>
      </w:r>
      <w:hyperlink r:id="rId15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D.lgs. 30 marzo 2001, n.165</w:t>
        </w:r>
      </w:hyperlink>
    </w:p>
    <w:p w14:paraId="547483F9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Istruzioni generali sulla gestione amministrativo-contabile delle istituzioni scolastiche – </w:t>
      </w:r>
      <w:hyperlink r:id="rId16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D.I. 1 febbraio 2001, n.44</w:t>
        </w:r>
      </w:hyperlink>
    </w:p>
    <w:p w14:paraId="14F7B9CE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lastRenderedPageBreak/>
        <w:t>Norme generali sull’istruzione – </w:t>
      </w:r>
      <w:hyperlink r:id="rId17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Legge 28 marzo 2003, n.53</w:t>
        </w:r>
      </w:hyperlink>
    </w:p>
    <w:p w14:paraId="7E9FDF36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Definizione delle norme generali relative alla scuola dell’infanzia e al primo ciclo dell’istruzione – </w:t>
      </w:r>
      <w:hyperlink r:id="rId18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D.lgs. 19 febbraio 2004, n.59</w:t>
        </w:r>
      </w:hyperlink>
    </w:p>
    <w:p w14:paraId="5643107A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Regolamento recante norme in materia di adempimento dell’obbligo di istruzione – </w:t>
      </w:r>
      <w:hyperlink r:id="rId19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D.M. 22 agosto 2007, n.139</w:t>
        </w:r>
      </w:hyperlink>
    </w:p>
    <w:p w14:paraId="65DC0DE1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Regolamento recante modifiche ed integrazioni allo statuto delle studentesse e degli studenti della scuola secondaria – </w:t>
      </w:r>
      <w:hyperlink r:id="rId20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DPR 21 novembre 2007, n.235</w:t>
        </w:r>
      </w:hyperlink>
    </w:p>
    <w:p w14:paraId="460D70B7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Disposizioni urgenti in materia di istruzione e università – </w:t>
      </w:r>
      <w:hyperlink r:id="rId21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D.L. 1 settembre 2008, n.137</w:t>
        </w:r>
      </w:hyperlink>
    </w:p>
    <w:p w14:paraId="0CA9FF9D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Testo unico della sicurezza sul lavoro – </w:t>
      </w:r>
      <w:hyperlink r:id="rId22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D.lgs. 9 aprile 2008, n.81</w:t>
        </w:r>
      </w:hyperlink>
    </w:p>
    <w:p w14:paraId="70BFE96C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Revisione dell’assetto ordinamentale, organizzativo e didattico della scuola dell’infanzia e del primo ciclo di istruzione – </w:t>
      </w:r>
      <w:hyperlink r:id="rId23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DPR 20 marzo 2009, n.89</w:t>
        </w:r>
      </w:hyperlink>
    </w:p>
    <w:p w14:paraId="0D6AC7B4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Regolamento recante coordinamento delle norme vigenti per la valutazione degli alunni – </w:t>
      </w:r>
      <w:hyperlink r:id="rId24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DPR 22 giugno 2009, n.122</w:t>
        </w:r>
      </w:hyperlink>
    </w:p>
    <w:p w14:paraId="547BF46B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Indicazioni nazionali per il curricolo – </w:t>
      </w:r>
      <w:hyperlink r:id="rId25" w:tgtFrame="_blank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D.M. 16 novembre 2012, n. 254</w:t>
        </w:r>
      </w:hyperlink>
    </w:p>
    <w:p w14:paraId="325C9745" w14:textId="77777777" w:rsidR="004011E3" w:rsidRPr="004011E3" w:rsidRDefault="004011E3" w:rsidP="004011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4011E3">
        <w:rPr>
          <w:rFonts w:ascii="Titillium Web" w:eastAsia="Times New Roman" w:hAnsi="Titillium Web" w:cs="Times New Roman"/>
          <w:color w:val="455B71"/>
          <w:kern w:val="0"/>
          <w:sz w:val="27"/>
          <w:szCs w:val="27"/>
          <w:lang w:eastAsia="it-IT"/>
          <w14:ligatures w14:val="none"/>
        </w:rPr>
        <w:t>Riforma del sistema nazionale di istruzione e formazione e delega per il riordino delle disposizioni legislative vigenti – </w:t>
      </w:r>
      <w:hyperlink r:id="rId26" w:history="1">
        <w:r w:rsidRPr="004011E3">
          <w:rPr>
            <w:rFonts w:ascii="Titillium Web" w:eastAsia="Times New Roman" w:hAnsi="Titillium Web" w:cs="Times New Roman"/>
            <w:color w:val="0066CC"/>
            <w:kern w:val="0"/>
            <w:sz w:val="27"/>
            <w:szCs w:val="27"/>
            <w:u w:val="single"/>
            <w:lang w:eastAsia="it-IT"/>
            <w14:ligatures w14:val="none"/>
          </w:rPr>
          <w:t>Legge 107/2015 </w:t>
        </w:r>
      </w:hyperlink>
    </w:p>
    <w:p w14:paraId="67D25E01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3B7D"/>
    <w:multiLevelType w:val="multilevel"/>
    <w:tmpl w:val="C87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670DC9"/>
    <w:multiLevelType w:val="multilevel"/>
    <w:tmpl w:val="EEE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E3"/>
    <w:rsid w:val="00041AB4"/>
    <w:rsid w:val="004011E3"/>
    <w:rsid w:val="00E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962F"/>
  <w15:chartTrackingRefBased/>
  <w15:docId w15:val="{D3A4F40C-71D5-4ACD-9137-A0A2600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4011E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011E3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40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cuola.it/archivio/norme/decreti/dlvo297_94.html" TargetMode="External"/><Relationship Id="rId13" Type="http://schemas.openxmlformats.org/officeDocument/2006/relationships/hyperlink" Target="http://www.normattiva.it/atto/caricaDettaglioAtto?atto.dataPubblicazioneGazzetta=1999-08-10&amp;atto.codiceRedazionale=099G0339" TargetMode="External"/><Relationship Id="rId18" Type="http://schemas.openxmlformats.org/officeDocument/2006/relationships/hyperlink" Target="http://www.normattiva.it/atto/caricaDettaglioAtto?atto.dataPubblicazioneGazzetta=2004-03-02&amp;atto.codiceRedazionale=004G0090&amp;currentPage=1" TargetMode="External"/><Relationship Id="rId26" Type="http://schemas.openxmlformats.org/officeDocument/2006/relationships/hyperlink" Target="http://www.normattiva.it/uri-res/N2Ls?urn:nir:stato:legge:2015-07-13;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rmattiva.it/atto/caricaDettaglioAtto?atto.dataPubblicazioneGazzetta=2008-09-01&amp;atto.codiceRedazionale=008G0163&amp;currentPage=1" TargetMode="External"/><Relationship Id="rId7" Type="http://schemas.openxmlformats.org/officeDocument/2006/relationships/hyperlink" Target="http://www.gazzettaufficiale.it/eli/id/2013/06/04/13G00104/sg" TargetMode="External"/><Relationship Id="rId12" Type="http://schemas.openxmlformats.org/officeDocument/2006/relationships/hyperlink" Target="http://www.normattiva.it/atto/caricaDettaglioAtto?atto.dataPubblicazioneGazzetta=1998-07-29&amp;atto.codiceRedazionale=098G0305&amp;currentPage=1" TargetMode="External"/><Relationship Id="rId17" Type="http://schemas.openxmlformats.org/officeDocument/2006/relationships/hyperlink" Target="http://www.normattiva.it/atto/caricaDettaglioAtto?atto.dataPubblicazioneGazzetta=2003-04-02&amp;atto.codiceRedazionale=003G0065&amp;currentPage=1" TargetMode="External"/><Relationship Id="rId25" Type="http://schemas.openxmlformats.org/officeDocument/2006/relationships/hyperlink" Target="http://www.normattiva.it/atto/caricaDettaglioAtto?atto.dataPubblicazioneGazzetta=2013-02-05&amp;atto.codiceRedazionale=13G00034&amp;currentPag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ttiva.it/atto/caricaDettaglioAtto?atto.dataPubblicazioneGazzetta=2001-03-09&amp;atto.codiceRedazionale=001G0092&amp;currentPage=1" TargetMode="External"/><Relationship Id="rId20" Type="http://schemas.openxmlformats.org/officeDocument/2006/relationships/hyperlink" Target="http://www.normattiva.it/atto/caricaDettaglioAtto?atto.dataPubblicazioneGazzetta=2007-12-18&amp;atto.codiceRedazionale=007G02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zzettaufficiale.it/atto/serie_generale/caricaDettaglioAtto/originario?atto.dataPubblicazioneGazzetta=2009-10-31&amp;atto.codiceRedazionale=009G0164" TargetMode="External"/><Relationship Id="rId11" Type="http://schemas.openxmlformats.org/officeDocument/2006/relationships/hyperlink" Target="http://www.normattiva.it/atto/caricaDettaglioAtto?atto.dataPubblicazioneGazzetta=1997-03-17&amp;atto.codiceRedazionale=097G0099&amp;currentPage=1" TargetMode="External"/><Relationship Id="rId24" Type="http://schemas.openxmlformats.org/officeDocument/2006/relationships/hyperlink" Target="http://www.normattiva.it/atto/caricaDettaglioAtto?atto.dataPubblicazioneGazzetta=2009-08-19&amp;atto.codiceRedazionale=009G0130&amp;currentPage=1" TargetMode="External"/><Relationship Id="rId5" Type="http://schemas.openxmlformats.org/officeDocument/2006/relationships/hyperlink" Target="http://hubmiur.pubblica.istruzione.it/web/ministero/operazione-trasparenza/codice-disciplinare;jsessionid=22FBB6C5DB543DB957F27E9CF806AB48" TargetMode="External"/><Relationship Id="rId15" Type="http://schemas.openxmlformats.org/officeDocument/2006/relationships/hyperlink" Target="http://www.normattiva.it/atto/caricaDettaglioAtto?atto.dataPubblicazioneGazzetta=2001-05-09&amp;atto.codiceRedazionale=001G0219" TargetMode="External"/><Relationship Id="rId23" Type="http://schemas.openxmlformats.org/officeDocument/2006/relationships/hyperlink" Target="http://www.normattiva.it/atto/caricaDettaglioAtto?atto.dataPubblicazioneGazzetta=2009-07-15&amp;atto.codiceRedazionale=009G0099&amp;currentPage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ormattiva.it/atto/caricaDettaglioAtto?atto.dataPubblicazioneGazzetta=1994-05-19&amp;atto.codiceRedazionale=094G0291" TargetMode="External"/><Relationship Id="rId19" Type="http://schemas.openxmlformats.org/officeDocument/2006/relationships/hyperlink" Target="http://www.normattiva.it/atto/caricaDettaglioAtto?atto.dataPubblicazioneGazzetta=2007-08-31&amp;atto.codiceRedazionale=007G0154&amp;current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costituzione:1947-12-27~art84" TargetMode="External"/><Relationship Id="rId14" Type="http://schemas.openxmlformats.org/officeDocument/2006/relationships/hyperlink" Target="http://www.normattiva.it/atto/caricaDettaglioAtto?atto.dataPubblicazioneGazzetta=2000-03-21&amp;atto.codiceRedazionale=000G0099&amp;currentPage=1" TargetMode="External"/><Relationship Id="rId22" Type="http://schemas.openxmlformats.org/officeDocument/2006/relationships/hyperlink" Target="http://www.normattiva.it/atto/caricaDettaglioAtto?atto.dataPubblicazioneGazzetta=2008-04-30&amp;atto.codiceRedazionale=008G0104&amp;currentPage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2</cp:revision>
  <dcterms:created xsi:type="dcterms:W3CDTF">2023-10-16T09:43:00Z</dcterms:created>
  <dcterms:modified xsi:type="dcterms:W3CDTF">2023-10-16T09:43:00Z</dcterms:modified>
</cp:coreProperties>
</file>